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947" w:rsidRPr="002E0947" w:rsidRDefault="002E0947" w:rsidP="002E0947">
      <w:pPr>
        <w:shd w:val="clear" w:color="auto" w:fill="FFFFFF"/>
        <w:spacing w:after="0" w:line="288" w:lineRule="auto"/>
        <w:jc w:val="center"/>
        <w:rPr>
          <w:rFonts w:eastAsia="Times New Roman" w:cs="Times New Roman"/>
          <w:b/>
          <w:bCs/>
          <w:sz w:val="36"/>
          <w:szCs w:val="36"/>
          <w:u w:val="single"/>
        </w:rPr>
      </w:pPr>
      <w:r w:rsidRPr="002E0947">
        <w:rPr>
          <w:rFonts w:eastAsia="Times New Roman" w:cs="Times New Roman"/>
          <w:b/>
          <w:bCs/>
          <w:sz w:val="36"/>
          <w:szCs w:val="36"/>
          <w:u w:val="single"/>
        </w:rPr>
        <w:t>Từ ngày 1/8/2024, tổ chức kinh tế được nhận chuyển nhượng đất nông nghiệp</w:t>
      </w:r>
    </w:p>
    <w:p w:rsidR="002E0947" w:rsidRPr="002E0947" w:rsidRDefault="002E0947" w:rsidP="002E0947">
      <w:pPr>
        <w:shd w:val="clear" w:color="auto" w:fill="F5F5F5"/>
        <w:spacing w:after="0" w:line="288" w:lineRule="auto"/>
        <w:jc w:val="both"/>
        <w:rPr>
          <w:rFonts w:eastAsia="Times New Roman" w:cs="Times New Roman"/>
          <w:bCs/>
          <w:szCs w:val="28"/>
        </w:rPr>
      </w:pPr>
    </w:p>
    <w:p w:rsidR="002E0947" w:rsidRPr="002E0947" w:rsidRDefault="002E0947" w:rsidP="002E0947">
      <w:pPr>
        <w:shd w:val="clear" w:color="auto" w:fill="F5F5F5"/>
        <w:spacing w:after="0" w:line="288" w:lineRule="auto"/>
        <w:ind w:firstLine="720"/>
        <w:jc w:val="both"/>
        <w:rPr>
          <w:rFonts w:eastAsia="Times New Roman" w:cs="Times New Roman"/>
          <w:b/>
          <w:szCs w:val="28"/>
        </w:rPr>
      </w:pPr>
      <w:r w:rsidRPr="002E0947">
        <w:rPr>
          <w:rFonts w:eastAsia="Times New Roman" w:cs="Times New Roman"/>
          <w:b/>
          <w:bCs/>
          <w:szCs w:val="28"/>
        </w:rPr>
        <w:t xml:space="preserve">(1) Từ ngày 1/8/2024, tổ chức kinh tế được nhận chuyển nhượng đất nông nghiệp </w:t>
      </w:r>
    </w:p>
    <w:p w:rsidR="002E0947" w:rsidRPr="002E0947" w:rsidRDefault="002E0947" w:rsidP="002E0947">
      <w:pPr>
        <w:shd w:val="clear" w:color="auto" w:fill="F5F5F5"/>
        <w:spacing w:after="0" w:line="288" w:lineRule="auto"/>
        <w:ind w:firstLine="720"/>
        <w:jc w:val="both"/>
        <w:rPr>
          <w:rFonts w:eastAsia="Times New Roman" w:cs="Times New Roman"/>
          <w:szCs w:val="28"/>
        </w:rPr>
      </w:pPr>
      <w:r w:rsidRPr="002E0947">
        <w:rPr>
          <w:rFonts w:eastAsia="Times New Roman" w:cs="Times New Roman"/>
          <w:szCs w:val="28"/>
        </w:rPr>
        <w:t xml:space="preserve">Theo quy định tại khoản 2 Điều 191 </w:t>
      </w:r>
      <w:hyperlink r:id="rId5" w:anchor="dieu_191" w:tgtFrame="_blank" w:history="1">
        <w:r w:rsidRPr="002E0947">
          <w:rPr>
            <w:rFonts w:eastAsia="Times New Roman" w:cs="Times New Roman"/>
            <w:bCs/>
            <w:szCs w:val="28"/>
          </w:rPr>
          <w:t>Luật Đất đai 2013</w:t>
        </w:r>
      </w:hyperlink>
      <w:r w:rsidRPr="002E0947">
        <w:rPr>
          <w:rFonts w:eastAsia="Times New Roman" w:cs="Times New Roman"/>
          <w:szCs w:val="28"/>
        </w:rPr>
        <w:t xml:space="preserve"> thì tổ chức kinh tế </w:t>
      </w:r>
      <w:r w:rsidRPr="002E0947">
        <w:rPr>
          <w:rFonts w:eastAsia="Times New Roman" w:cs="Times New Roman"/>
          <w:bCs/>
          <w:szCs w:val="28"/>
        </w:rPr>
        <w:t>không được nhận chuyển nhượng</w:t>
      </w:r>
      <w:r w:rsidRPr="002E0947">
        <w:rPr>
          <w:rFonts w:eastAsia="Times New Roman" w:cs="Times New Roman"/>
          <w:szCs w:val="28"/>
        </w:rPr>
        <w:t xml:space="preserve"> quyền sử dụng đất trồng lúa, đất rừng phòng hộ, đất rừng đặc dụng của hộ gia đình, cá nhân, trừ trường hợp được chuyển mục đích sử dụng đất theo quy hoạch, kế hoạch sử dụng đất đã được cơ quan nhà nước có thẩm quyền phê duyệt.</w:t>
      </w:r>
    </w:p>
    <w:p w:rsidR="002E0947" w:rsidRPr="002E0947" w:rsidRDefault="002E0947" w:rsidP="002E0947">
      <w:pPr>
        <w:shd w:val="clear" w:color="auto" w:fill="F5F5F5"/>
        <w:spacing w:after="0" w:line="288" w:lineRule="auto"/>
        <w:ind w:firstLine="720"/>
        <w:jc w:val="both"/>
        <w:rPr>
          <w:rFonts w:eastAsia="Times New Roman" w:cs="Times New Roman"/>
          <w:szCs w:val="28"/>
        </w:rPr>
      </w:pPr>
      <w:r w:rsidRPr="002E0947">
        <w:rPr>
          <w:rFonts w:eastAsia="Times New Roman" w:cs="Times New Roman"/>
          <w:szCs w:val="28"/>
        </w:rPr>
        <w:t xml:space="preserve">Như vậy, ở </w:t>
      </w:r>
      <w:hyperlink r:id="rId6" w:anchor="dieu_191" w:tgtFrame="_blank" w:history="1">
        <w:r w:rsidRPr="002E0947">
          <w:rPr>
            <w:rFonts w:eastAsia="Times New Roman" w:cs="Times New Roman"/>
            <w:bCs/>
            <w:szCs w:val="28"/>
          </w:rPr>
          <w:t>Luật Đất đai 2013</w:t>
        </w:r>
      </w:hyperlink>
      <w:r w:rsidRPr="002E0947">
        <w:rPr>
          <w:rFonts w:eastAsia="Times New Roman" w:cs="Times New Roman"/>
          <w:bCs/>
          <w:szCs w:val="28"/>
        </w:rPr>
        <w:t xml:space="preserve">, </w:t>
      </w:r>
      <w:r w:rsidRPr="002E0947">
        <w:rPr>
          <w:rFonts w:eastAsia="Times New Roman" w:cs="Times New Roman"/>
          <w:szCs w:val="28"/>
        </w:rPr>
        <w:t xml:space="preserve">tổ chức kinh tế </w:t>
      </w:r>
      <w:r w:rsidRPr="002E0947">
        <w:rPr>
          <w:rFonts w:eastAsia="Times New Roman" w:cs="Times New Roman"/>
          <w:bCs/>
          <w:szCs w:val="28"/>
        </w:rPr>
        <w:t>bị cấm nhận chuyển nhượng đất trồng lúa,</w:t>
      </w:r>
      <w:r w:rsidRPr="002E0947">
        <w:rPr>
          <w:rFonts w:eastAsia="Times New Roman" w:cs="Times New Roman"/>
          <w:szCs w:val="28"/>
        </w:rPr>
        <w:t xml:space="preserve"> trừ trường hợp chuyển mục đích sử dụng đất.</w:t>
      </w:r>
    </w:p>
    <w:p w:rsidR="002E0947" w:rsidRPr="002E0947" w:rsidRDefault="002E0947" w:rsidP="002E0947">
      <w:pPr>
        <w:shd w:val="clear" w:color="auto" w:fill="F5F5F5"/>
        <w:spacing w:after="0" w:line="288" w:lineRule="auto"/>
        <w:jc w:val="both"/>
        <w:rPr>
          <w:rFonts w:eastAsia="Times New Roman" w:cs="Times New Roman"/>
          <w:szCs w:val="28"/>
        </w:rPr>
      </w:pPr>
      <w:r w:rsidRPr="002E0947">
        <w:rPr>
          <w:rFonts w:eastAsia="Times New Roman" w:cs="Times New Roman"/>
          <w:szCs w:val="28"/>
        </w:rPr>
        <w:t xml:space="preserve">Tuy nhiên, đến ngày 01/8/2024, </w:t>
      </w:r>
      <w:hyperlink r:id="rId7" w:tgtFrame="_blank" w:history="1">
        <w:r w:rsidRPr="002E0947">
          <w:rPr>
            <w:rFonts w:eastAsia="Times New Roman" w:cs="Times New Roman"/>
            <w:bCs/>
            <w:szCs w:val="28"/>
          </w:rPr>
          <w:t>Luật Đất đai 2024</w:t>
        </w:r>
      </w:hyperlink>
      <w:r w:rsidRPr="002E0947">
        <w:rPr>
          <w:rFonts w:eastAsia="Times New Roman" w:cs="Times New Roman"/>
          <w:szCs w:val="28"/>
        </w:rPr>
        <w:t xml:space="preserve"> bắt đầu có hiệu lực thì quy định này đã được thay đổi, cụ thể tại khoản 6 Điều 45 </w:t>
      </w:r>
      <w:hyperlink r:id="rId8" w:anchor="dieu_45" w:tgtFrame="_blank" w:history="1">
        <w:r w:rsidRPr="002E0947">
          <w:rPr>
            <w:rFonts w:eastAsia="Times New Roman" w:cs="Times New Roman"/>
            <w:bCs/>
            <w:szCs w:val="28"/>
          </w:rPr>
          <w:t>Luật Đất đai 2024</w:t>
        </w:r>
      </w:hyperlink>
      <w:r w:rsidRPr="002E0947">
        <w:rPr>
          <w:rFonts w:eastAsia="Times New Roman" w:cs="Times New Roman"/>
          <w:szCs w:val="28"/>
        </w:rPr>
        <w:t xml:space="preserve"> có quy định như sau:</w:t>
      </w:r>
    </w:p>
    <w:p w:rsidR="002E0947" w:rsidRPr="002E0947" w:rsidRDefault="002E0947" w:rsidP="002E0947">
      <w:pPr>
        <w:shd w:val="clear" w:color="auto" w:fill="F5F5F5"/>
        <w:spacing w:after="0" w:line="288" w:lineRule="auto"/>
        <w:jc w:val="both"/>
        <w:rPr>
          <w:rFonts w:eastAsia="Times New Roman" w:cs="Times New Roman"/>
          <w:szCs w:val="28"/>
        </w:rPr>
      </w:pPr>
      <w:r w:rsidRPr="002E0947">
        <w:rPr>
          <w:rFonts w:eastAsia="Times New Roman" w:cs="Times New Roman"/>
          <w:szCs w:val="28"/>
        </w:rPr>
        <w:t>Tổ chức kinh tế được nhận chuyển nhượng quyền sử dụng đất nông nghiệp phải có phương án sử dụng đất nông nghiệp được UBND cấp huyện chấp thuận.</w:t>
      </w:r>
    </w:p>
    <w:p w:rsidR="002E0947" w:rsidRPr="002E0947" w:rsidRDefault="002E0947" w:rsidP="002E0947">
      <w:pPr>
        <w:shd w:val="clear" w:color="auto" w:fill="F5F5F5"/>
        <w:spacing w:after="0" w:line="288" w:lineRule="auto"/>
        <w:jc w:val="both"/>
        <w:rPr>
          <w:rFonts w:eastAsia="Times New Roman" w:cs="Times New Roman"/>
          <w:szCs w:val="28"/>
        </w:rPr>
      </w:pPr>
      <w:r w:rsidRPr="002E0947">
        <w:rPr>
          <w:rFonts w:eastAsia="Times New Roman" w:cs="Times New Roman"/>
          <w:szCs w:val="28"/>
        </w:rPr>
        <w:t>Phương án sử dụng đất nông nghiệp phải có các nội dung chính sau đây:</w:t>
      </w:r>
    </w:p>
    <w:p w:rsidR="002E0947" w:rsidRPr="002E0947" w:rsidRDefault="002E0947" w:rsidP="002E0947">
      <w:pPr>
        <w:shd w:val="clear" w:color="auto" w:fill="F5F5F5"/>
        <w:spacing w:after="0" w:line="288" w:lineRule="auto"/>
        <w:jc w:val="both"/>
        <w:rPr>
          <w:rFonts w:eastAsia="Times New Roman" w:cs="Times New Roman"/>
          <w:szCs w:val="28"/>
        </w:rPr>
      </w:pPr>
      <w:r w:rsidRPr="002E0947">
        <w:rPr>
          <w:rFonts w:eastAsia="Times New Roman" w:cs="Times New Roman"/>
          <w:szCs w:val="28"/>
        </w:rPr>
        <w:t>- Địa điểm, diện tích, mục đích sử dụng đất;</w:t>
      </w:r>
    </w:p>
    <w:p w:rsidR="002E0947" w:rsidRPr="002E0947" w:rsidRDefault="002E0947" w:rsidP="002E0947">
      <w:pPr>
        <w:shd w:val="clear" w:color="auto" w:fill="F5F5F5"/>
        <w:spacing w:after="0" w:line="288" w:lineRule="auto"/>
        <w:jc w:val="both"/>
        <w:rPr>
          <w:rFonts w:eastAsia="Times New Roman" w:cs="Times New Roman"/>
          <w:szCs w:val="28"/>
        </w:rPr>
      </w:pPr>
      <w:r w:rsidRPr="002E0947">
        <w:rPr>
          <w:rFonts w:eastAsia="Times New Roman" w:cs="Times New Roman"/>
          <w:szCs w:val="28"/>
        </w:rPr>
        <w:t>- Kế hoạch sản xuất, kinh doanh nông nghiệp;</w:t>
      </w:r>
    </w:p>
    <w:p w:rsidR="002E0947" w:rsidRPr="002E0947" w:rsidRDefault="002E0947" w:rsidP="002E0947">
      <w:pPr>
        <w:shd w:val="clear" w:color="auto" w:fill="F5F5F5"/>
        <w:spacing w:after="0" w:line="288" w:lineRule="auto"/>
        <w:jc w:val="both"/>
        <w:rPr>
          <w:rFonts w:eastAsia="Times New Roman" w:cs="Times New Roman"/>
          <w:szCs w:val="28"/>
        </w:rPr>
      </w:pPr>
      <w:r w:rsidRPr="002E0947">
        <w:rPr>
          <w:rFonts w:eastAsia="Times New Roman" w:cs="Times New Roman"/>
          <w:szCs w:val="28"/>
        </w:rPr>
        <w:t>- Vốn đầu tư;</w:t>
      </w:r>
    </w:p>
    <w:p w:rsidR="002E0947" w:rsidRPr="002E0947" w:rsidRDefault="002E0947" w:rsidP="002E0947">
      <w:pPr>
        <w:shd w:val="clear" w:color="auto" w:fill="F5F5F5"/>
        <w:spacing w:after="0" w:line="288" w:lineRule="auto"/>
        <w:jc w:val="both"/>
        <w:rPr>
          <w:rFonts w:eastAsia="Times New Roman" w:cs="Times New Roman"/>
          <w:szCs w:val="28"/>
        </w:rPr>
      </w:pPr>
      <w:r w:rsidRPr="002E0947">
        <w:rPr>
          <w:rFonts w:eastAsia="Times New Roman" w:cs="Times New Roman"/>
          <w:szCs w:val="28"/>
        </w:rPr>
        <w:t>- Thời hạn sử dụng đất;</w:t>
      </w:r>
    </w:p>
    <w:p w:rsidR="002E0947" w:rsidRPr="002E0947" w:rsidRDefault="002E0947" w:rsidP="002E0947">
      <w:pPr>
        <w:shd w:val="clear" w:color="auto" w:fill="F5F5F5"/>
        <w:spacing w:after="0" w:line="288" w:lineRule="auto"/>
        <w:jc w:val="both"/>
        <w:rPr>
          <w:rFonts w:eastAsia="Times New Roman" w:cs="Times New Roman"/>
          <w:szCs w:val="28"/>
        </w:rPr>
      </w:pPr>
      <w:r w:rsidRPr="002E0947">
        <w:rPr>
          <w:rFonts w:eastAsia="Times New Roman" w:cs="Times New Roman"/>
          <w:szCs w:val="28"/>
        </w:rPr>
        <w:t>- Tiến độ sử dụng đất.</w:t>
      </w:r>
    </w:p>
    <w:p w:rsidR="002E0947" w:rsidRPr="002E0947" w:rsidRDefault="002E0947" w:rsidP="002E0947">
      <w:pPr>
        <w:shd w:val="clear" w:color="auto" w:fill="F5F5F5"/>
        <w:spacing w:after="0" w:line="288" w:lineRule="auto"/>
        <w:ind w:firstLine="720"/>
        <w:jc w:val="both"/>
        <w:rPr>
          <w:rFonts w:eastAsia="Times New Roman" w:cs="Times New Roman"/>
          <w:szCs w:val="28"/>
        </w:rPr>
      </w:pPr>
      <w:r w:rsidRPr="002E0947">
        <w:rPr>
          <w:rFonts w:eastAsia="Times New Roman" w:cs="Times New Roman"/>
          <w:bCs/>
          <w:i/>
          <w:iCs/>
          <w:szCs w:val="28"/>
        </w:rPr>
        <w:t xml:space="preserve">Như vậy, </w:t>
      </w:r>
      <w:r w:rsidRPr="002E0947">
        <w:rPr>
          <w:rFonts w:eastAsia="Times New Roman" w:cs="Times New Roman"/>
          <w:szCs w:val="28"/>
        </w:rPr>
        <w:t xml:space="preserve">qua đến </w:t>
      </w:r>
      <w:hyperlink r:id="rId9" w:tgtFrame="_blank" w:history="1">
        <w:r w:rsidRPr="002E0947">
          <w:rPr>
            <w:rFonts w:eastAsia="Times New Roman" w:cs="Times New Roman"/>
            <w:bCs/>
            <w:szCs w:val="28"/>
          </w:rPr>
          <w:t>Luật Đất đai 2024</w:t>
        </w:r>
      </w:hyperlink>
      <w:r w:rsidRPr="002E0947">
        <w:rPr>
          <w:rFonts w:eastAsia="Times New Roman" w:cs="Times New Roman"/>
          <w:szCs w:val="28"/>
        </w:rPr>
        <w:t xml:space="preserve">, </w:t>
      </w:r>
      <w:r w:rsidRPr="002E0947">
        <w:rPr>
          <w:rFonts w:eastAsia="Times New Roman" w:cs="Times New Roman"/>
          <w:szCs w:val="28"/>
          <w:shd w:val="clear" w:color="auto" w:fill="AFEEEE"/>
        </w:rPr>
        <w:t>tổ chức kinh tế đã được mở đường cho việc nhận chuyển nhượng đất nông nghiệp với điều kiện phải có phương án sử dụng đất được UBND cấp huyện chấp thuận.</w:t>
      </w:r>
    </w:p>
    <w:p w:rsidR="002E0947" w:rsidRPr="002E0947" w:rsidRDefault="002E0947" w:rsidP="002E0947">
      <w:pPr>
        <w:shd w:val="clear" w:color="auto" w:fill="F5F5F5"/>
        <w:spacing w:after="0" w:line="288" w:lineRule="auto"/>
        <w:jc w:val="both"/>
        <w:rPr>
          <w:rFonts w:eastAsia="Times New Roman" w:cs="Times New Roman"/>
          <w:szCs w:val="28"/>
        </w:rPr>
      </w:pPr>
      <w:r w:rsidRPr="002E0947">
        <w:rPr>
          <w:rFonts w:eastAsia="Times New Roman" w:cs="Times New Roman"/>
          <w:szCs w:val="28"/>
        </w:rPr>
        <w:t xml:space="preserve">Sự thay đổi trong quy định về chuyển nhượng quyền sử dụng đất nông nghiệp từ </w:t>
      </w:r>
      <w:hyperlink r:id="rId10" w:tgtFrame="_blank" w:history="1">
        <w:r w:rsidRPr="002E0947">
          <w:rPr>
            <w:rFonts w:eastAsia="Times New Roman" w:cs="Times New Roman"/>
            <w:bCs/>
            <w:szCs w:val="28"/>
          </w:rPr>
          <w:t>Luật Đất đai 2013</w:t>
        </w:r>
      </w:hyperlink>
      <w:r w:rsidRPr="002E0947">
        <w:rPr>
          <w:rFonts w:eastAsia="Times New Roman" w:cs="Times New Roman"/>
          <w:szCs w:val="28"/>
        </w:rPr>
        <w:t xml:space="preserve"> sang </w:t>
      </w:r>
      <w:hyperlink r:id="rId11" w:tgtFrame="_blank" w:history="1">
        <w:r w:rsidRPr="002E0947">
          <w:rPr>
            <w:rFonts w:eastAsia="Times New Roman" w:cs="Times New Roman"/>
            <w:bCs/>
            <w:szCs w:val="28"/>
          </w:rPr>
          <w:t>Luật Đất đai 2024</w:t>
        </w:r>
      </w:hyperlink>
      <w:r w:rsidRPr="002E0947">
        <w:rPr>
          <w:rFonts w:eastAsia="Times New Roman" w:cs="Times New Roman"/>
          <w:szCs w:val="28"/>
        </w:rPr>
        <w:t xml:space="preserve"> đánh dấu một bước tiến quan trọng trong việc tạo điều kiện cho tổ chức kinh tế tham gia vào lĩnh vực nông nghiệp.</w:t>
      </w:r>
    </w:p>
    <w:p w:rsidR="002E0947" w:rsidRPr="002E0947" w:rsidRDefault="002E0947" w:rsidP="002E0947">
      <w:pPr>
        <w:shd w:val="clear" w:color="auto" w:fill="F5F5F5"/>
        <w:spacing w:after="0" w:line="288" w:lineRule="auto"/>
        <w:jc w:val="both"/>
        <w:rPr>
          <w:rFonts w:eastAsia="Times New Roman" w:cs="Times New Roman"/>
          <w:szCs w:val="28"/>
        </w:rPr>
      </w:pPr>
      <w:r w:rsidRPr="002E0947">
        <w:rPr>
          <w:rFonts w:eastAsia="Times New Roman" w:cs="Times New Roman"/>
          <w:szCs w:val="28"/>
        </w:rPr>
        <w:t xml:space="preserve">Bên cạnh đó, bằng cách yêu cầu tổ chức kinh tế trình bày rõ ràng phương án sử dụng đất và phải được chấp thuận trước khi nhận chuyển nhượng đất nông nghiệp, luật pháp đang tạo nên hành lang pháp lý nhằm khuyến khích sự phát triển có trách </w:t>
      </w:r>
      <w:r w:rsidRPr="002E0947">
        <w:rPr>
          <w:rFonts w:eastAsia="Times New Roman" w:cs="Times New Roman"/>
          <w:szCs w:val="28"/>
        </w:rPr>
        <w:lastRenderedPageBreak/>
        <w:t>nhiệm và bền vững trong lĩnh vực nông nghiệp, đồng thời cũng đảm bảo được lợi ích của cộng đồng và các vấn đề liên quan đến bảo vệ môi trường.</w:t>
      </w:r>
    </w:p>
    <w:p w:rsidR="002E0947" w:rsidRPr="002E0947" w:rsidRDefault="002E0947" w:rsidP="002E0947">
      <w:pPr>
        <w:shd w:val="clear" w:color="auto" w:fill="F5F5F5"/>
        <w:spacing w:after="0" w:line="288" w:lineRule="auto"/>
        <w:ind w:firstLine="720"/>
        <w:jc w:val="both"/>
        <w:rPr>
          <w:rFonts w:eastAsia="Times New Roman" w:cs="Times New Roman"/>
          <w:b/>
          <w:szCs w:val="28"/>
        </w:rPr>
      </w:pPr>
      <w:bookmarkStart w:id="0" w:name="_GoBack"/>
      <w:r w:rsidRPr="002E0947">
        <w:rPr>
          <w:rFonts w:eastAsia="Times New Roman" w:cs="Times New Roman"/>
          <w:b/>
          <w:bCs/>
          <w:szCs w:val="28"/>
        </w:rPr>
        <w:t>(2) Phương án sử dụng đất nông nghiệp có những nội dung gì?</w:t>
      </w:r>
    </w:p>
    <w:bookmarkEnd w:id="0"/>
    <w:p w:rsidR="002E0947" w:rsidRPr="002E0947" w:rsidRDefault="002E0947" w:rsidP="002E0947">
      <w:pPr>
        <w:shd w:val="clear" w:color="auto" w:fill="F5F5F5"/>
        <w:spacing w:after="0" w:line="288" w:lineRule="auto"/>
        <w:ind w:firstLine="720"/>
        <w:jc w:val="both"/>
        <w:rPr>
          <w:rFonts w:eastAsia="Times New Roman" w:cs="Times New Roman"/>
          <w:szCs w:val="28"/>
        </w:rPr>
      </w:pPr>
      <w:r w:rsidRPr="002E0947">
        <w:rPr>
          <w:rFonts w:eastAsia="Times New Roman" w:cs="Times New Roman"/>
          <w:szCs w:val="28"/>
        </w:rPr>
        <w:t xml:space="preserve">Theo quy định tại khoản 6 Điều 45 </w:t>
      </w:r>
      <w:hyperlink r:id="rId12" w:anchor="dieu_45" w:tgtFrame="_blank" w:history="1">
        <w:r w:rsidRPr="002E0947">
          <w:rPr>
            <w:rFonts w:eastAsia="Times New Roman" w:cs="Times New Roman"/>
            <w:bCs/>
            <w:szCs w:val="28"/>
          </w:rPr>
          <w:t>Luật Đất đai 2024</w:t>
        </w:r>
      </w:hyperlink>
      <w:r w:rsidRPr="002E0947">
        <w:rPr>
          <w:rFonts w:eastAsia="Times New Roman" w:cs="Times New Roman"/>
          <w:szCs w:val="28"/>
        </w:rPr>
        <w:t>, tổ chức kinh tế được nhận chuyển nhượng quyền sử dụng đất nông nghiệp phải có phương án sử dụng đất nông nghiệp được UBND cấp huyện chấp thuận.</w:t>
      </w:r>
    </w:p>
    <w:p w:rsidR="002E0947" w:rsidRPr="002E0947" w:rsidRDefault="002E0947" w:rsidP="002E0947">
      <w:pPr>
        <w:shd w:val="clear" w:color="auto" w:fill="F5F5F5"/>
        <w:spacing w:after="0" w:line="288" w:lineRule="auto"/>
        <w:jc w:val="both"/>
        <w:rPr>
          <w:rFonts w:eastAsia="Times New Roman" w:cs="Times New Roman"/>
          <w:szCs w:val="28"/>
        </w:rPr>
      </w:pPr>
      <w:r w:rsidRPr="002E0947">
        <w:rPr>
          <w:rFonts w:eastAsia="Times New Roman" w:cs="Times New Roman"/>
          <w:szCs w:val="28"/>
        </w:rPr>
        <w:t xml:space="preserve">Theo đó, </w:t>
      </w:r>
      <w:r w:rsidRPr="002E0947">
        <w:rPr>
          <w:rFonts w:eastAsia="Times New Roman" w:cs="Times New Roman"/>
          <w:szCs w:val="28"/>
          <w:shd w:val="clear" w:color="auto" w:fill="AFEEEE"/>
        </w:rPr>
        <w:t>phương án sử dụng đất nông nghiệp phải có các nội dung chính sau đây:</w:t>
      </w:r>
    </w:p>
    <w:p w:rsidR="002E0947" w:rsidRPr="002E0947" w:rsidRDefault="002E0947" w:rsidP="002E0947">
      <w:pPr>
        <w:shd w:val="clear" w:color="auto" w:fill="F5F5F5"/>
        <w:spacing w:after="0" w:line="288" w:lineRule="auto"/>
        <w:jc w:val="both"/>
        <w:rPr>
          <w:rFonts w:eastAsia="Times New Roman" w:cs="Times New Roman"/>
          <w:szCs w:val="28"/>
        </w:rPr>
      </w:pPr>
      <w:r w:rsidRPr="002E0947">
        <w:rPr>
          <w:rFonts w:eastAsia="Times New Roman" w:cs="Times New Roman"/>
          <w:szCs w:val="28"/>
        </w:rPr>
        <w:t>- Địa điểm, diện tích, mục đích sử dụng đất;</w:t>
      </w:r>
    </w:p>
    <w:p w:rsidR="002E0947" w:rsidRPr="002E0947" w:rsidRDefault="002E0947" w:rsidP="002E0947">
      <w:pPr>
        <w:shd w:val="clear" w:color="auto" w:fill="F5F5F5"/>
        <w:spacing w:after="0" w:line="288" w:lineRule="auto"/>
        <w:jc w:val="both"/>
        <w:rPr>
          <w:rFonts w:eastAsia="Times New Roman" w:cs="Times New Roman"/>
          <w:szCs w:val="28"/>
        </w:rPr>
      </w:pPr>
      <w:r w:rsidRPr="002E0947">
        <w:rPr>
          <w:rFonts w:eastAsia="Times New Roman" w:cs="Times New Roman"/>
          <w:szCs w:val="28"/>
        </w:rPr>
        <w:t>- Kế hoạch sản xuất, kinh doanh nông nghiệp;</w:t>
      </w:r>
    </w:p>
    <w:p w:rsidR="002E0947" w:rsidRPr="002E0947" w:rsidRDefault="002E0947" w:rsidP="002E0947">
      <w:pPr>
        <w:shd w:val="clear" w:color="auto" w:fill="F5F5F5"/>
        <w:spacing w:after="0" w:line="288" w:lineRule="auto"/>
        <w:jc w:val="both"/>
        <w:rPr>
          <w:rFonts w:eastAsia="Times New Roman" w:cs="Times New Roman"/>
          <w:szCs w:val="28"/>
        </w:rPr>
      </w:pPr>
      <w:r w:rsidRPr="002E0947">
        <w:rPr>
          <w:rFonts w:eastAsia="Times New Roman" w:cs="Times New Roman"/>
          <w:szCs w:val="28"/>
        </w:rPr>
        <w:t>- Vốn đầu tư;</w:t>
      </w:r>
    </w:p>
    <w:p w:rsidR="002E0947" w:rsidRPr="002E0947" w:rsidRDefault="002E0947" w:rsidP="002E0947">
      <w:pPr>
        <w:shd w:val="clear" w:color="auto" w:fill="F5F5F5"/>
        <w:spacing w:after="0" w:line="288" w:lineRule="auto"/>
        <w:jc w:val="both"/>
        <w:rPr>
          <w:rFonts w:eastAsia="Times New Roman" w:cs="Times New Roman"/>
          <w:szCs w:val="28"/>
        </w:rPr>
      </w:pPr>
      <w:r w:rsidRPr="002E0947">
        <w:rPr>
          <w:rFonts w:eastAsia="Times New Roman" w:cs="Times New Roman"/>
          <w:szCs w:val="28"/>
        </w:rPr>
        <w:t>- Thời hạn sử dụng đất;</w:t>
      </w:r>
    </w:p>
    <w:p w:rsidR="002E0947" w:rsidRPr="002E0947" w:rsidRDefault="002E0947" w:rsidP="002E0947">
      <w:pPr>
        <w:shd w:val="clear" w:color="auto" w:fill="F5F5F5"/>
        <w:spacing w:after="0" w:line="288" w:lineRule="auto"/>
        <w:jc w:val="both"/>
        <w:rPr>
          <w:rFonts w:eastAsia="Times New Roman" w:cs="Times New Roman"/>
          <w:szCs w:val="28"/>
        </w:rPr>
      </w:pPr>
      <w:r w:rsidRPr="002E0947">
        <w:rPr>
          <w:rFonts w:eastAsia="Times New Roman" w:cs="Times New Roman"/>
          <w:szCs w:val="28"/>
        </w:rPr>
        <w:t>- Tiến độ sử dụng đất.</w:t>
      </w:r>
    </w:p>
    <w:p w:rsidR="002E0947" w:rsidRPr="002E0947" w:rsidRDefault="002E0947" w:rsidP="002E0947">
      <w:pPr>
        <w:shd w:val="clear" w:color="auto" w:fill="F5F5F5"/>
        <w:spacing w:after="0" w:line="288" w:lineRule="auto"/>
        <w:jc w:val="both"/>
        <w:rPr>
          <w:rFonts w:eastAsia="Times New Roman" w:cs="Times New Roman"/>
          <w:szCs w:val="28"/>
        </w:rPr>
      </w:pPr>
      <w:r w:rsidRPr="002E0947">
        <w:rPr>
          <w:rFonts w:eastAsia="Times New Roman" w:cs="Times New Roman"/>
          <w:szCs w:val="28"/>
        </w:rPr>
        <w:t>Bằng cách yêu cầu các tổ chức kinh tế xây dựng phương án sử dụng đất cụ thể, Nhà nước có thể theo dõi và đánh giá được kế hoạch phát triển nông nghiệp của từng tổ chức.</w:t>
      </w:r>
    </w:p>
    <w:p w:rsidR="002E0947" w:rsidRPr="002E0947" w:rsidRDefault="002E0947" w:rsidP="002E0947">
      <w:pPr>
        <w:shd w:val="clear" w:color="auto" w:fill="F5F5F5"/>
        <w:spacing w:after="0" w:line="288" w:lineRule="auto"/>
        <w:jc w:val="both"/>
        <w:rPr>
          <w:rFonts w:eastAsia="Times New Roman" w:cs="Times New Roman"/>
          <w:szCs w:val="28"/>
        </w:rPr>
      </w:pPr>
      <w:r w:rsidRPr="002E0947">
        <w:rPr>
          <w:rFonts w:eastAsia="Times New Roman" w:cs="Times New Roman"/>
          <w:szCs w:val="28"/>
        </w:rPr>
        <w:t>Quy định trên thể hiện sự quản lý chặt chẽ của Nhà nước đối với việc sử dụng đất nông nghiệp, nhằm hạn chế tình trạng lãng phí đất đai và bảo vệ nguồn tài nguyên quý giá này. </w:t>
      </w:r>
    </w:p>
    <w:p w:rsidR="002E0947" w:rsidRPr="002E0947" w:rsidRDefault="002E0947" w:rsidP="002E0947">
      <w:pPr>
        <w:shd w:val="clear" w:color="auto" w:fill="F5F5F5"/>
        <w:spacing w:after="0" w:line="288" w:lineRule="auto"/>
        <w:ind w:firstLine="720"/>
        <w:jc w:val="both"/>
        <w:rPr>
          <w:rFonts w:eastAsia="Times New Roman" w:cs="Times New Roman"/>
          <w:b/>
          <w:szCs w:val="28"/>
        </w:rPr>
      </w:pPr>
      <w:r w:rsidRPr="002E0947">
        <w:rPr>
          <w:rFonts w:eastAsia="Times New Roman" w:cs="Times New Roman"/>
          <w:b/>
          <w:bCs/>
          <w:szCs w:val="28"/>
        </w:rPr>
        <w:t>(3) Các trường hợp không được nhận chuyển nhượng, nhận tặng cho quyền sử dụng đất</w:t>
      </w:r>
    </w:p>
    <w:p w:rsidR="002E0947" w:rsidRPr="002E0947" w:rsidRDefault="002E0947" w:rsidP="002E0947">
      <w:pPr>
        <w:shd w:val="clear" w:color="auto" w:fill="F5F5F5"/>
        <w:spacing w:after="0" w:line="288" w:lineRule="auto"/>
        <w:ind w:firstLine="720"/>
        <w:jc w:val="both"/>
        <w:rPr>
          <w:rFonts w:eastAsia="Times New Roman" w:cs="Times New Roman"/>
          <w:szCs w:val="28"/>
        </w:rPr>
      </w:pPr>
      <w:r w:rsidRPr="002E0947">
        <w:rPr>
          <w:rFonts w:eastAsia="Times New Roman" w:cs="Times New Roman"/>
          <w:szCs w:val="28"/>
        </w:rPr>
        <w:t xml:space="preserve">Các trường hợp không được nhận chuyển nhượng, nhận tặng cho quyền sử dụng đất theo quy định tại khoản 8 Điều 45 </w:t>
      </w:r>
      <w:hyperlink r:id="rId13" w:anchor="dieu_45" w:tgtFrame="_blank" w:history="1">
        <w:r w:rsidRPr="002E0947">
          <w:rPr>
            <w:rFonts w:eastAsia="Times New Roman" w:cs="Times New Roman"/>
            <w:bCs/>
            <w:szCs w:val="28"/>
          </w:rPr>
          <w:t>Luật Đất đai 2024</w:t>
        </w:r>
      </w:hyperlink>
      <w:r w:rsidRPr="002E0947">
        <w:rPr>
          <w:rFonts w:eastAsia="Times New Roman" w:cs="Times New Roman"/>
          <w:szCs w:val="28"/>
        </w:rPr>
        <w:t xml:space="preserve"> bao gồm:</w:t>
      </w:r>
    </w:p>
    <w:p w:rsidR="002E0947" w:rsidRPr="002E0947" w:rsidRDefault="002E0947" w:rsidP="002E0947">
      <w:pPr>
        <w:shd w:val="clear" w:color="auto" w:fill="F5F5F5"/>
        <w:spacing w:after="0" w:line="288" w:lineRule="auto"/>
        <w:jc w:val="both"/>
        <w:rPr>
          <w:rFonts w:eastAsia="Times New Roman" w:cs="Times New Roman"/>
          <w:szCs w:val="28"/>
        </w:rPr>
      </w:pPr>
      <w:r w:rsidRPr="002E0947">
        <w:rPr>
          <w:rFonts w:eastAsia="Times New Roman" w:cs="Times New Roman"/>
          <w:szCs w:val="28"/>
        </w:rPr>
        <w:t>- Tổ chức kinh tế không được nhận chuyển nhượng quyền sử dụng đất rừng phòng hộ, đất rừng đặc dụng của cá nhân, trừ trường hợp được chuyển mục đích sử dụng đất theo quy hoạch, kế hoạch sử dụng đất đã được cơ quan có thẩm quyền phê duyệt;</w:t>
      </w:r>
    </w:p>
    <w:p w:rsidR="002E0947" w:rsidRPr="002E0947" w:rsidRDefault="002E0947" w:rsidP="002E0947">
      <w:pPr>
        <w:shd w:val="clear" w:color="auto" w:fill="F5F5F5"/>
        <w:spacing w:after="0" w:line="288" w:lineRule="auto"/>
        <w:jc w:val="both"/>
        <w:rPr>
          <w:rFonts w:eastAsia="Times New Roman" w:cs="Times New Roman"/>
          <w:szCs w:val="28"/>
        </w:rPr>
      </w:pPr>
      <w:r w:rsidRPr="002E0947">
        <w:rPr>
          <w:rFonts w:eastAsia="Times New Roman" w:cs="Times New Roman"/>
          <w:szCs w:val="28"/>
        </w:rPr>
        <w:t>- Cá nhân không sinh sống trong khu vực rừng phòng hộ, rừng đặc dụng thì không được nhận chuyển nhượng, nhận tặng cho quyền sử dụng đất ở và đất khác trong khu vực rừng phòng hộ, trong phân khu bảo vệ nghiêm ngặt, phân khu phục hồi sinh thái thuộc rừng đặc dụng đó;</w:t>
      </w:r>
    </w:p>
    <w:p w:rsidR="002E0947" w:rsidRPr="002E0947" w:rsidRDefault="002E0947" w:rsidP="002E0947">
      <w:pPr>
        <w:shd w:val="clear" w:color="auto" w:fill="F5F5F5"/>
        <w:spacing w:after="0" w:line="288" w:lineRule="auto"/>
        <w:jc w:val="both"/>
        <w:rPr>
          <w:rFonts w:eastAsia="Times New Roman" w:cs="Times New Roman"/>
          <w:szCs w:val="28"/>
        </w:rPr>
      </w:pPr>
      <w:r w:rsidRPr="002E0947">
        <w:rPr>
          <w:rFonts w:eastAsia="Times New Roman" w:cs="Times New Roman"/>
          <w:szCs w:val="28"/>
        </w:rPr>
        <w:t xml:space="preserve">- Tổ chức, cá nhân, cộng đồng dân cư, tổ chức tôn giáo, tổ chức tôn giáo trực thuộc, người gốc Việt Nam định cư ở nước ngoài, tổ chức kinh tế có vốn đầu tư </w:t>
      </w:r>
      <w:r w:rsidRPr="002E0947">
        <w:rPr>
          <w:rFonts w:eastAsia="Times New Roman" w:cs="Times New Roman"/>
          <w:szCs w:val="28"/>
        </w:rPr>
        <w:lastRenderedPageBreak/>
        <w:t>nước ngoài mà pháp luật không cho phép nhận chuyển nhượng, nhận tặng cho quyền sử dụng đất.</w:t>
      </w:r>
    </w:p>
    <w:p w:rsidR="002E0947" w:rsidRPr="002E0947" w:rsidRDefault="002E0947" w:rsidP="002E0947">
      <w:pPr>
        <w:shd w:val="clear" w:color="auto" w:fill="F5F5F5"/>
        <w:spacing w:after="0" w:line="288" w:lineRule="auto"/>
        <w:jc w:val="both"/>
        <w:rPr>
          <w:rFonts w:eastAsia="Times New Roman" w:cs="Times New Roman"/>
          <w:szCs w:val="28"/>
        </w:rPr>
      </w:pPr>
      <w:r w:rsidRPr="002E0947">
        <w:rPr>
          <w:rFonts w:eastAsia="Times New Roman" w:cs="Times New Roman"/>
          <w:szCs w:val="28"/>
        </w:rPr>
        <w:t>Những quy định này có tác động tích cực đến việc quản lý và bảo vệ tài nguyên đất đai của nước ta. Bằng cách xác định rõ các trường hợp không được nhận chuyển nhượng quyền sử dụng đất,</w:t>
      </w:r>
      <w:hyperlink r:id="rId14" w:tgtFrame="_blank" w:history="1">
        <w:r w:rsidRPr="002E0947">
          <w:rPr>
            <w:rFonts w:eastAsia="Times New Roman" w:cs="Times New Roman"/>
            <w:bCs/>
            <w:szCs w:val="28"/>
          </w:rPr>
          <w:t xml:space="preserve"> Luật Đất đai 2024</w:t>
        </w:r>
      </w:hyperlink>
      <w:r w:rsidRPr="002E0947">
        <w:rPr>
          <w:rFonts w:eastAsia="Times New Roman" w:cs="Times New Roman"/>
          <w:szCs w:val="28"/>
        </w:rPr>
        <w:t xml:space="preserve"> góp phần tạo ra một môi trường đầu tư và sử dụng đất bền vững, đồng thời bảo vệ quyền lợi của cộng đồng và môi trường.</w:t>
      </w:r>
    </w:p>
    <w:p w:rsidR="0048465B" w:rsidRPr="002E0947" w:rsidRDefault="0048465B" w:rsidP="002E0947">
      <w:pPr>
        <w:spacing w:after="0" w:line="288" w:lineRule="auto"/>
        <w:jc w:val="both"/>
        <w:rPr>
          <w:rFonts w:cs="Times New Roman"/>
          <w:szCs w:val="28"/>
        </w:rPr>
      </w:pPr>
    </w:p>
    <w:sectPr w:rsidR="0048465B" w:rsidRPr="002E0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947"/>
    <w:rsid w:val="002E0947"/>
    <w:rsid w:val="0048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header">
    <w:name w:val="article__header"/>
    <w:basedOn w:val="Normal"/>
    <w:rsid w:val="002E0947"/>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2E0947"/>
    <w:rPr>
      <w:color w:val="0000FF"/>
      <w:u w:val="single"/>
    </w:rPr>
  </w:style>
  <w:style w:type="character" w:customStyle="1" w:styleId="rank150x150">
    <w:name w:val="rank150x150"/>
    <w:basedOn w:val="DefaultParagraphFont"/>
    <w:rsid w:val="002E0947"/>
  </w:style>
  <w:style w:type="character" w:customStyle="1" w:styleId="rowsttcol1">
    <w:name w:val="rows_ttcol1"/>
    <w:basedOn w:val="DefaultParagraphFont"/>
    <w:rsid w:val="002E0947"/>
  </w:style>
  <w:style w:type="character" w:customStyle="1" w:styleId="rowsttcol2">
    <w:name w:val="rows_ttcol2"/>
    <w:basedOn w:val="DefaultParagraphFont"/>
    <w:rsid w:val="002E0947"/>
  </w:style>
  <w:style w:type="paragraph" w:customStyle="1" w:styleId="right">
    <w:name w:val="right"/>
    <w:basedOn w:val="Normal"/>
    <w:rsid w:val="002E0947"/>
    <w:pPr>
      <w:spacing w:before="100" w:beforeAutospacing="1" w:after="100" w:afterAutospacing="1" w:line="240" w:lineRule="auto"/>
    </w:pPr>
    <w:rPr>
      <w:rFonts w:eastAsia="Times New Roman" w:cs="Times New Roman"/>
      <w:sz w:val="24"/>
      <w:szCs w:val="24"/>
    </w:rPr>
  </w:style>
  <w:style w:type="character" w:customStyle="1" w:styleId="mghead">
    <w:name w:val="mghead"/>
    <w:basedOn w:val="DefaultParagraphFont"/>
    <w:rsid w:val="002E0947"/>
  </w:style>
  <w:style w:type="paragraph" w:styleId="NormalWeb">
    <w:name w:val="Normal (Web)"/>
    <w:basedOn w:val="Normal"/>
    <w:uiPriority w:val="99"/>
    <w:semiHidden/>
    <w:unhideWhenUsed/>
    <w:rsid w:val="002E094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E0947"/>
    <w:rPr>
      <w:b/>
      <w:bCs/>
    </w:rPr>
  </w:style>
  <w:style w:type="paragraph" w:styleId="BalloonText">
    <w:name w:val="Balloon Text"/>
    <w:basedOn w:val="Normal"/>
    <w:link w:val="BalloonTextChar"/>
    <w:uiPriority w:val="99"/>
    <w:semiHidden/>
    <w:unhideWhenUsed/>
    <w:rsid w:val="002E0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9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header">
    <w:name w:val="article__header"/>
    <w:basedOn w:val="Normal"/>
    <w:rsid w:val="002E0947"/>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2E0947"/>
    <w:rPr>
      <w:color w:val="0000FF"/>
      <w:u w:val="single"/>
    </w:rPr>
  </w:style>
  <w:style w:type="character" w:customStyle="1" w:styleId="rank150x150">
    <w:name w:val="rank150x150"/>
    <w:basedOn w:val="DefaultParagraphFont"/>
    <w:rsid w:val="002E0947"/>
  </w:style>
  <w:style w:type="character" w:customStyle="1" w:styleId="rowsttcol1">
    <w:name w:val="rows_ttcol1"/>
    <w:basedOn w:val="DefaultParagraphFont"/>
    <w:rsid w:val="002E0947"/>
  </w:style>
  <w:style w:type="character" w:customStyle="1" w:styleId="rowsttcol2">
    <w:name w:val="rows_ttcol2"/>
    <w:basedOn w:val="DefaultParagraphFont"/>
    <w:rsid w:val="002E0947"/>
  </w:style>
  <w:style w:type="paragraph" w:customStyle="1" w:styleId="right">
    <w:name w:val="right"/>
    <w:basedOn w:val="Normal"/>
    <w:rsid w:val="002E0947"/>
    <w:pPr>
      <w:spacing w:before="100" w:beforeAutospacing="1" w:after="100" w:afterAutospacing="1" w:line="240" w:lineRule="auto"/>
    </w:pPr>
    <w:rPr>
      <w:rFonts w:eastAsia="Times New Roman" w:cs="Times New Roman"/>
      <w:sz w:val="24"/>
      <w:szCs w:val="24"/>
    </w:rPr>
  </w:style>
  <w:style w:type="character" w:customStyle="1" w:styleId="mghead">
    <w:name w:val="mghead"/>
    <w:basedOn w:val="DefaultParagraphFont"/>
    <w:rsid w:val="002E0947"/>
  </w:style>
  <w:style w:type="paragraph" w:styleId="NormalWeb">
    <w:name w:val="Normal (Web)"/>
    <w:basedOn w:val="Normal"/>
    <w:uiPriority w:val="99"/>
    <w:semiHidden/>
    <w:unhideWhenUsed/>
    <w:rsid w:val="002E094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E0947"/>
    <w:rPr>
      <w:b/>
      <w:bCs/>
    </w:rPr>
  </w:style>
  <w:style w:type="paragraph" w:styleId="BalloonText">
    <w:name w:val="Balloon Text"/>
    <w:basedOn w:val="Normal"/>
    <w:link w:val="BalloonTextChar"/>
    <w:uiPriority w:val="99"/>
    <w:semiHidden/>
    <w:unhideWhenUsed/>
    <w:rsid w:val="002E0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9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806262">
      <w:bodyDiv w:val="1"/>
      <w:marLeft w:val="0"/>
      <w:marRight w:val="0"/>
      <w:marTop w:val="0"/>
      <w:marBottom w:val="0"/>
      <w:divBdr>
        <w:top w:val="none" w:sz="0" w:space="0" w:color="auto"/>
        <w:left w:val="none" w:sz="0" w:space="0" w:color="auto"/>
        <w:bottom w:val="none" w:sz="0" w:space="0" w:color="auto"/>
        <w:right w:val="none" w:sz="0" w:space="0" w:color="auto"/>
      </w:divBdr>
      <w:divsChild>
        <w:div w:id="1818567329">
          <w:marLeft w:val="0"/>
          <w:marRight w:val="0"/>
          <w:marTop w:val="0"/>
          <w:marBottom w:val="150"/>
          <w:divBdr>
            <w:top w:val="single" w:sz="6" w:space="4" w:color="DDDDDD"/>
            <w:left w:val="single" w:sz="6" w:space="4" w:color="DDDDDD"/>
            <w:bottom w:val="single" w:sz="6" w:space="4" w:color="DDDDDD"/>
            <w:right w:val="single" w:sz="6" w:space="4" w:color="DDDDDD"/>
          </w:divBdr>
          <w:divsChild>
            <w:div w:id="644433836">
              <w:marLeft w:val="0"/>
              <w:marRight w:val="0"/>
              <w:marTop w:val="0"/>
              <w:marBottom w:val="0"/>
              <w:divBdr>
                <w:top w:val="none" w:sz="0" w:space="0" w:color="auto"/>
                <w:left w:val="none" w:sz="0" w:space="0" w:color="auto"/>
                <w:bottom w:val="none" w:sz="0" w:space="0" w:color="auto"/>
                <w:right w:val="none" w:sz="0" w:space="0" w:color="auto"/>
              </w:divBdr>
              <w:divsChild>
                <w:div w:id="434593015">
                  <w:marLeft w:val="0"/>
                  <w:marRight w:val="0"/>
                  <w:marTop w:val="0"/>
                  <w:marBottom w:val="0"/>
                  <w:divBdr>
                    <w:top w:val="none" w:sz="0" w:space="0" w:color="auto"/>
                    <w:left w:val="none" w:sz="0" w:space="0" w:color="auto"/>
                    <w:bottom w:val="none" w:sz="0" w:space="0" w:color="auto"/>
                    <w:right w:val="none" w:sz="0" w:space="0" w:color="auto"/>
                  </w:divBdr>
                </w:div>
              </w:divsChild>
            </w:div>
            <w:div w:id="648631330">
              <w:marLeft w:val="0"/>
              <w:marRight w:val="0"/>
              <w:marTop w:val="0"/>
              <w:marBottom w:val="0"/>
              <w:divBdr>
                <w:top w:val="none" w:sz="0" w:space="0" w:color="auto"/>
                <w:left w:val="none" w:sz="0" w:space="0" w:color="auto"/>
                <w:bottom w:val="none" w:sz="0" w:space="0" w:color="auto"/>
                <w:right w:val="none" w:sz="0" w:space="0" w:color="auto"/>
              </w:divBdr>
            </w:div>
            <w:div w:id="2000500189">
              <w:marLeft w:val="1500"/>
              <w:marRight w:val="0"/>
              <w:marTop w:val="150"/>
              <w:marBottom w:val="0"/>
              <w:divBdr>
                <w:top w:val="single" w:sz="12" w:space="8" w:color="F79522"/>
                <w:left w:val="none" w:sz="0" w:space="0" w:color="auto"/>
                <w:bottom w:val="none" w:sz="0" w:space="0" w:color="auto"/>
                <w:right w:val="none" w:sz="0" w:space="0" w:color="auto"/>
              </w:divBdr>
              <w:divsChild>
                <w:div w:id="893472595">
                  <w:marLeft w:val="0"/>
                  <w:marRight w:val="0"/>
                  <w:marTop w:val="0"/>
                  <w:marBottom w:val="0"/>
                  <w:divBdr>
                    <w:top w:val="none" w:sz="0" w:space="0" w:color="auto"/>
                    <w:left w:val="none" w:sz="0" w:space="0" w:color="auto"/>
                    <w:bottom w:val="none" w:sz="0" w:space="0" w:color="auto"/>
                    <w:right w:val="none" w:sz="0" w:space="0" w:color="auto"/>
                  </w:divBdr>
                </w:div>
                <w:div w:id="880169353">
                  <w:marLeft w:val="0"/>
                  <w:marRight w:val="0"/>
                  <w:marTop w:val="0"/>
                  <w:marBottom w:val="0"/>
                  <w:divBdr>
                    <w:top w:val="none" w:sz="0" w:space="0" w:color="auto"/>
                    <w:left w:val="none" w:sz="0" w:space="0" w:color="auto"/>
                    <w:bottom w:val="none" w:sz="0" w:space="0" w:color="auto"/>
                    <w:right w:val="none" w:sz="0" w:space="0" w:color="auto"/>
                  </w:divBdr>
                </w:div>
                <w:div w:id="35544253">
                  <w:marLeft w:val="0"/>
                  <w:marRight w:val="0"/>
                  <w:marTop w:val="0"/>
                  <w:marBottom w:val="0"/>
                  <w:divBdr>
                    <w:top w:val="none" w:sz="0" w:space="0" w:color="auto"/>
                    <w:left w:val="none" w:sz="0" w:space="0" w:color="auto"/>
                    <w:bottom w:val="none" w:sz="0" w:space="0" w:color="auto"/>
                    <w:right w:val="none" w:sz="0" w:space="0" w:color="auto"/>
                  </w:divBdr>
                </w:div>
                <w:div w:id="13499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9395">
          <w:marLeft w:val="0"/>
          <w:marRight w:val="0"/>
          <w:marTop w:val="100"/>
          <w:marBottom w:val="100"/>
          <w:divBdr>
            <w:top w:val="none" w:sz="0" w:space="0" w:color="auto"/>
            <w:left w:val="none" w:sz="0" w:space="0" w:color="auto"/>
            <w:bottom w:val="none" w:sz="0" w:space="0" w:color="auto"/>
            <w:right w:val="none" w:sz="0" w:space="0" w:color="auto"/>
          </w:divBdr>
          <w:divsChild>
            <w:div w:id="1828478258">
              <w:marLeft w:val="0"/>
              <w:marRight w:val="0"/>
              <w:marTop w:val="0"/>
              <w:marBottom w:val="0"/>
              <w:divBdr>
                <w:top w:val="none" w:sz="0" w:space="0" w:color="auto"/>
                <w:left w:val="none" w:sz="0" w:space="0" w:color="auto"/>
                <w:bottom w:val="none" w:sz="0" w:space="0" w:color="auto"/>
                <w:right w:val="none" w:sz="0" w:space="0" w:color="auto"/>
              </w:divBdr>
              <w:divsChild>
                <w:div w:id="1381786210">
                  <w:marLeft w:val="0"/>
                  <w:marRight w:val="0"/>
                  <w:marTop w:val="0"/>
                  <w:marBottom w:val="0"/>
                  <w:divBdr>
                    <w:top w:val="none" w:sz="0" w:space="0" w:color="auto"/>
                    <w:left w:val="none" w:sz="0" w:space="0" w:color="auto"/>
                    <w:bottom w:val="none" w:sz="0" w:space="0" w:color="auto"/>
                    <w:right w:val="none" w:sz="0" w:space="0" w:color="auto"/>
                  </w:divBdr>
                  <w:divsChild>
                    <w:div w:id="1485589631">
                      <w:marLeft w:val="0"/>
                      <w:marRight w:val="0"/>
                      <w:marTop w:val="0"/>
                      <w:marBottom w:val="0"/>
                      <w:divBdr>
                        <w:top w:val="none" w:sz="0" w:space="0" w:color="auto"/>
                        <w:left w:val="none" w:sz="0" w:space="0" w:color="auto"/>
                        <w:bottom w:val="none" w:sz="0" w:space="0" w:color="auto"/>
                        <w:right w:val="none" w:sz="0" w:space="0" w:color="auto"/>
                      </w:divBdr>
                      <w:divsChild>
                        <w:div w:id="265234062">
                          <w:marLeft w:val="0"/>
                          <w:marRight w:val="0"/>
                          <w:marTop w:val="0"/>
                          <w:marBottom w:val="210"/>
                          <w:divBdr>
                            <w:top w:val="none" w:sz="0" w:space="0" w:color="auto"/>
                            <w:left w:val="none" w:sz="0" w:space="0" w:color="auto"/>
                            <w:bottom w:val="none" w:sz="0" w:space="0" w:color="auto"/>
                            <w:right w:val="none" w:sz="0" w:space="0" w:color="auto"/>
                          </w:divBdr>
                        </w:div>
                        <w:div w:id="422145183">
                          <w:marLeft w:val="41"/>
                          <w:marRight w:val="41"/>
                          <w:marTop w:val="0"/>
                          <w:marBottom w:val="150"/>
                          <w:divBdr>
                            <w:top w:val="none" w:sz="0" w:space="0" w:color="auto"/>
                            <w:left w:val="none" w:sz="0" w:space="0" w:color="auto"/>
                            <w:bottom w:val="none" w:sz="0" w:space="0" w:color="auto"/>
                            <w:right w:val="none" w:sz="0" w:space="0" w:color="auto"/>
                          </w:divBdr>
                          <w:divsChild>
                            <w:div w:id="61025717">
                              <w:marLeft w:val="0"/>
                              <w:marRight w:val="0"/>
                              <w:marTop w:val="0"/>
                              <w:marBottom w:val="0"/>
                              <w:divBdr>
                                <w:top w:val="none" w:sz="0" w:space="0" w:color="auto"/>
                                <w:left w:val="none" w:sz="0" w:space="0" w:color="auto"/>
                                <w:bottom w:val="none" w:sz="0" w:space="0" w:color="auto"/>
                                <w:right w:val="none" w:sz="0" w:space="0" w:color="auto"/>
                              </w:divBdr>
                              <w:divsChild>
                                <w:div w:id="93328862">
                                  <w:marLeft w:val="0"/>
                                  <w:marRight w:val="0"/>
                                  <w:marTop w:val="0"/>
                                  <w:marBottom w:val="0"/>
                                  <w:divBdr>
                                    <w:top w:val="none" w:sz="0" w:space="0" w:color="auto"/>
                                    <w:left w:val="none" w:sz="0" w:space="0" w:color="auto"/>
                                    <w:bottom w:val="none" w:sz="0" w:space="0" w:color="auto"/>
                                    <w:right w:val="none" w:sz="0" w:space="0" w:color="auto"/>
                                  </w:divBdr>
                                  <w:divsChild>
                                    <w:div w:id="684593754">
                                      <w:marLeft w:val="0"/>
                                      <w:marRight w:val="0"/>
                                      <w:marTop w:val="0"/>
                                      <w:marBottom w:val="0"/>
                                      <w:divBdr>
                                        <w:top w:val="none" w:sz="0" w:space="0" w:color="auto"/>
                                        <w:left w:val="none" w:sz="0" w:space="0" w:color="auto"/>
                                        <w:bottom w:val="none" w:sz="0" w:space="0" w:color="auto"/>
                                        <w:right w:val="none" w:sz="0" w:space="0" w:color="auto"/>
                                      </w:divBdr>
                                      <w:divsChild>
                                        <w:div w:id="100567051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73528434">
                          <w:marLeft w:val="41"/>
                          <w:marRight w:val="41"/>
                          <w:marTop w:val="0"/>
                          <w:marBottom w:val="150"/>
                          <w:divBdr>
                            <w:top w:val="none" w:sz="0" w:space="0" w:color="auto"/>
                            <w:left w:val="none" w:sz="0" w:space="0" w:color="auto"/>
                            <w:bottom w:val="none" w:sz="0" w:space="0" w:color="auto"/>
                            <w:right w:val="none" w:sz="0" w:space="0" w:color="auto"/>
                          </w:divBdr>
                          <w:divsChild>
                            <w:div w:id="1507398024">
                              <w:marLeft w:val="0"/>
                              <w:marRight w:val="0"/>
                              <w:marTop w:val="0"/>
                              <w:marBottom w:val="0"/>
                              <w:divBdr>
                                <w:top w:val="none" w:sz="0" w:space="0" w:color="auto"/>
                                <w:left w:val="none" w:sz="0" w:space="0" w:color="auto"/>
                                <w:bottom w:val="none" w:sz="0" w:space="0" w:color="auto"/>
                                <w:right w:val="none" w:sz="0" w:space="0" w:color="auto"/>
                              </w:divBdr>
                              <w:divsChild>
                                <w:div w:id="1074861846">
                                  <w:marLeft w:val="0"/>
                                  <w:marRight w:val="0"/>
                                  <w:marTop w:val="0"/>
                                  <w:marBottom w:val="0"/>
                                  <w:divBdr>
                                    <w:top w:val="none" w:sz="0" w:space="0" w:color="auto"/>
                                    <w:left w:val="none" w:sz="0" w:space="0" w:color="auto"/>
                                    <w:bottom w:val="none" w:sz="0" w:space="0" w:color="auto"/>
                                    <w:right w:val="none" w:sz="0" w:space="0" w:color="auto"/>
                                  </w:divBdr>
                                </w:div>
                                <w:div w:id="1253466882">
                                  <w:marLeft w:val="0"/>
                                  <w:marRight w:val="0"/>
                                  <w:marTop w:val="0"/>
                                  <w:marBottom w:val="0"/>
                                  <w:divBdr>
                                    <w:top w:val="none" w:sz="0" w:space="0" w:color="auto"/>
                                    <w:left w:val="none" w:sz="0" w:space="0" w:color="auto"/>
                                    <w:bottom w:val="none" w:sz="0" w:space="0" w:color="auto"/>
                                    <w:right w:val="none" w:sz="0" w:space="0" w:color="auto"/>
                                  </w:divBdr>
                                  <w:divsChild>
                                    <w:div w:id="1211645658">
                                      <w:marLeft w:val="0"/>
                                      <w:marRight w:val="0"/>
                                      <w:marTop w:val="0"/>
                                      <w:marBottom w:val="0"/>
                                      <w:divBdr>
                                        <w:top w:val="none" w:sz="0" w:space="0" w:color="auto"/>
                                        <w:left w:val="none" w:sz="0" w:space="0" w:color="auto"/>
                                        <w:bottom w:val="none" w:sz="0" w:space="0" w:color="auto"/>
                                        <w:right w:val="none" w:sz="0" w:space="0" w:color="auto"/>
                                      </w:divBdr>
                                      <w:divsChild>
                                        <w:div w:id="1048650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Luat-Dat-dai-2024-31-2024-QH15-523642.aspx" TargetMode="External"/><Relationship Id="rId13" Type="http://schemas.openxmlformats.org/officeDocument/2006/relationships/hyperlink" Target="https://thuvienphapluat.vn/van-ban/Bat-dong-san/Luat-Dat-dai-2024-31-2024-QH15-523642.aspx"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van-ban/Bat-dong-san/Luat-Dat-dai-2024-31-2024-QH15-523642.aspx" TargetMode="External"/><Relationship Id="rId12" Type="http://schemas.openxmlformats.org/officeDocument/2006/relationships/hyperlink" Target="https://thuvienphapluat.vn/van-ban/Bat-dong-san/Luat-Dat-dai-2024-31-2024-QH15-523642.aspx" TargetMode="External"/><Relationship Id="rId17"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Bat-dong-san/Luat-dat-dai-2013-215836.aspx" TargetMode="External"/><Relationship Id="rId11" Type="http://schemas.openxmlformats.org/officeDocument/2006/relationships/hyperlink" Target="https://thuvienphapluat.vn/van-ban/Bat-dong-san/Luat-Dat-dai-2024-31-2024-QH15-523642.aspx" TargetMode="External"/><Relationship Id="rId5" Type="http://schemas.openxmlformats.org/officeDocument/2006/relationships/hyperlink" Target="https://thuvienphapluat.vn/van-ban/Bat-dong-san/Luat-dat-dai-2013-215836.aspx" TargetMode="External"/><Relationship Id="rId15" Type="http://schemas.openxmlformats.org/officeDocument/2006/relationships/fontTable" Target="fontTable.xml"/><Relationship Id="rId10" Type="http://schemas.openxmlformats.org/officeDocument/2006/relationships/hyperlink" Target="https://thuvienphapluat.vn/van-ban/Bat-dong-san/Luat-dat-dai-2013-215836.aspx"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thuvienphapluat.vn/van-ban/Bat-dong-san/Luat-Dat-dai-2024-31-2024-QH15-523642.aspx" TargetMode="External"/><Relationship Id="rId14" Type="http://schemas.openxmlformats.org/officeDocument/2006/relationships/hyperlink" Target="https://thuvienphapluat.vn/van-ban/Bat-dong-san/Luat-Dat-dai-2024-31-2024-QH15-52364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B528BC-62D8-4089-805A-773C1CDC74A0}"/>
</file>

<file path=customXml/itemProps2.xml><?xml version="1.0" encoding="utf-8"?>
<ds:datastoreItem xmlns:ds="http://schemas.openxmlformats.org/officeDocument/2006/customXml" ds:itemID="{13A6FF97-0637-4B68-8A10-594F3D48ED6C}"/>
</file>

<file path=customXml/itemProps3.xml><?xml version="1.0" encoding="utf-8"?>
<ds:datastoreItem xmlns:ds="http://schemas.openxmlformats.org/officeDocument/2006/customXml" ds:itemID="{529CE045-18B4-4AFE-AE72-0C66914DCD95}"/>
</file>

<file path=docProps/app.xml><?xml version="1.0" encoding="utf-8"?>
<Properties xmlns="http://schemas.openxmlformats.org/officeDocument/2006/extended-properties" xmlns:vt="http://schemas.openxmlformats.org/officeDocument/2006/docPropsVTypes">
  <Template>Normal</Template>
  <TotalTime>4</TotalTime>
  <Pages>3</Pages>
  <Words>790</Words>
  <Characters>4509</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2025-04-21T01:26:00Z</dcterms:created>
  <dcterms:modified xsi:type="dcterms:W3CDTF">2025-04-21T01:30:00Z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